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11</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12</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13</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14</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19</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3</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4</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5</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一百一十六、霸州市第二十一中学收支预算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501631霸州市第二十一中学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1118.73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1118.73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1118.73</w:t>
            </w:r>
          </w:p>
        </w:tc>
        <w:tc>
          <w:tcPr>
            <w:tcW w:w="4535" w:type="dxa"/>
            <w:vAlign w:val="center"/>
          </w:tcPr>
          <w:p>
            <w:pPr>
              <w:pStyle w:val="24"/>
            </w:pPr>
            <w:r>
              <w:t>本年支出合计</w:t>
            </w:r>
          </w:p>
        </w:tc>
        <w:tc>
          <w:tcPr>
            <w:tcW w:w="2126" w:type="dxa"/>
            <w:vAlign w:val="center"/>
          </w:tcPr>
          <w:p>
            <w:pPr>
              <w:pStyle w:val="25"/>
            </w:pPr>
            <w:r>
              <w:t>1118.73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1118.73</w:t>
            </w:r>
          </w:p>
        </w:tc>
        <w:tc>
          <w:tcPr>
            <w:tcW w:w="4535" w:type="dxa"/>
            <w:vAlign w:val="center"/>
          </w:tcPr>
          <w:p>
            <w:pPr>
              <w:pStyle w:val="24"/>
            </w:pPr>
            <w:r>
              <w:t>支出总计</w:t>
            </w:r>
          </w:p>
        </w:tc>
        <w:tc>
          <w:tcPr>
            <w:tcW w:w="2126" w:type="dxa"/>
            <w:vAlign w:val="center"/>
          </w:tcPr>
          <w:p>
            <w:pPr>
              <w:pStyle w:val="25"/>
            </w:pPr>
            <w:r>
              <w:t>1118.73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501631霸州市第二十一中学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1118.73</w:t>
            </w:r>
          </w:p>
        </w:tc>
        <w:tc>
          <w:tcPr>
            <w:tcW w:w="1134" w:type="dxa"/>
            <w:vAlign w:val="center"/>
          </w:tcPr>
          <w:p>
            <w:pPr>
              <w:pStyle w:val="25"/>
            </w:pPr>
            <w:r>
              <w:t>1118.73</w:t>
            </w:r>
          </w:p>
        </w:tc>
        <w:tc>
          <w:tcPr>
            <w:tcW w:w="1134" w:type="dxa"/>
            <w:vAlign w:val="center"/>
          </w:tcPr>
          <w:p>
            <w:pPr>
              <w:pStyle w:val="25"/>
            </w:pPr>
            <w:r>
              <w:t>1118.73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1118.73</w:t>
            </w:r>
          </w:p>
        </w:tc>
        <w:tc>
          <w:tcPr>
            <w:tcW w:w="1134" w:type="dxa"/>
            <w:vAlign w:val="center"/>
          </w:tcPr>
          <w:p>
            <w:pPr>
              <w:pStyle w:val="21"/>
            </w:pPr>
            <w:r>
              <w:t>1118.73</w:t>
            </w:r>
          </w:p>
        </w:tc>
        <w:tc>
          <w:tcPr>
            <w:tcW w:w="1134" w:type="dxa"/>
            <w:vAlign w:val="center"/>
          </w:tcPr>
          <w:p>
            <w:pPr>
              <w:pStyle w:val="21"/>
            </w:pPr>
            <w:r>
              <w:t>1118.73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1118.73</w:t>
            </w:r>
          </w:p>
        </w:tc>
        <w:tc>
          <w:tcPr>
            <w:tcW w:w="1134" w:type="dxa"/>
            <w:vAlign w:val="center"/>
          </w:tcPr>
          <w:p>
            <w:pPr>
              <w:pStyle w:val="21"/>
            </w:pPr>
            <w:r>
              <w:t>1118.73</w:t>
            </w:r>
          </w:p>
        </w:tc>
        <w:tc>
          <w:tcPr>
            <w:tcW w:w="1134" w:type="dxa"/>
            <w:vAlign w:val="center"/>
          </w:tcPr>
          <w:p>
            <w:pPr>
              <w:pStyle w:val="21"/>
            </w:pPr>
            <w:r>
              <w:t>1118.73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1118.73</w:t>
            </w:r>
          </w:p>
        </w:tc>
        <w:tc>
          <w:tcPr>
            <w:tcW w:w="1134" w:type="dxa"/>
            <w:vAlign w:val="center"/>
          </w:tcPr>
          <w:p>
            <w:pPr>
              <w:pStyle w:val="21"/>
            </w:pPr>
            <w:r>
              <w:t>1118.73</w:t>
            </w:r>
          </w:p>
        </w:tc>
        <w:tc>
          <w:tcPr>
            <w:tcW w:w="1134" w:type="dxa"/>
            <w:vAlign w:val="center"/>
          </w:tcPr>
          <w:p>
            <w:pPr>
              <w:pStyle w:val="21"/>
            </w:pPr>
            <w:r>
              <w:t>1118.73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501631霸州市第二十一中学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1118.73</w:t>
            </w:r>
          </w:p>
        </w:tc>
        <w:tc>
          <w:tcPr>
            <w:tcW w:w="1361" w:type="dxa"/>
            <w:vAlign w:val="center"/>
          </w:tcPr>
          <w:p>
            <w:pPr>
              <w:pStyle w:val="25"/>
            </w:pPr>
            <w:r>
              <w:t>1076.28</w:t>
            </w:r>
          </w:p>
        </w:tc>
        <w:tc>
          <w:tcPr>
            <w:tcW w:w="1361" w:type="dxa"/>
            <w:vAlign w:val="center"/>
          </w:tcPr>
          <w:p>
            <w:pPr>
              <w:pStyle w:val="25"/>
            </w:pPr>
            <w:r>
              <w:t>42.45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1118.73</w:t>
            </w:r>
          </w:p>
        </w:tc>
        <w:tc>
          <w:tcPr>
            <w:tcW w:w="1361" w:type="dxa"/>
            <w:vAlign w:val="center"/>
          </w:tcPr>
          <w:p>
            <w:pPr>
              <w:pStyle w:val="21"/>
            </w:pPr>
            <w:r>
              <w:t>1076.28</w:t>
            </w:r>
          </w:p>
        </w:tc>
        <w:tc>
          <w:tcPr>
            <w:tcW w:w="1361" w:type="dxa"/>
            <w:vAlign w:val="center"/>
          </w:tcPr>
          <w:p>
            <w:pPr>
              <w:pStyle w:val="21"/>
            </w:pPr>
            <w:r>
              <w:t>42.45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1118.73</w:t>
            </w:r>
          </w:p>
        </w:tc>
        <w:tc>
          <w:tcPr>
            <w:tcW w:w="1361" w:type="dxa"/>
            <w:vAlign w:val="center"/>
          </w:tcPr>
          <w:p>
            <w:pPr>
              <w:pStyle w:val="21"/>
            </w:pPr>
            <w:r>
              <w:t>1076.28</w:t>
            </w:r>
          </w:p>
        </w:tc>
        <w:tc>
          <w:tcPr>
            <w:tcW w:w="1361" w:type="dxa"/>
            <w:vAlign w:val="center"/>
          </w:tcPr>
          <w:p>
            <w:pPr>
              <w:pStyle w:val="21"/>
            </w:pPr>
            <w:r>
              <w:t>42.45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1118.73</w:t>
            </w:r>
          </w:p>
        </w:tc>
        <w:tc>
          <w:tcPr>
            <w:tcW w:w="1361" w:type="dxa"/>
            <w:vAlign w:val="center"/>
          </w:tcPr>
          <w:p>
            <w:pPr>
              <w:pStyle w:val="21"/>
            </w:pPr>
            <w:r>
              <w:t>1076.28</w:t>
            </w:r>
          </w:p>
        </w:tc>
        <w:tc>
          <w:tcPr>
            <w:tcW w:w="1361" w:type="dxa"/>
            <w:vAlign w:val="center"/>
          </w:tcPr>
          <w:p>
            <w:pPr>
              <w:pStyle w:val="21"/>
            </w:pPr>
            <w:r>
              <w:t>42.45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501631霸州市第二十一中学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1118.73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1118.73</w:t>
            </w:r>
          </w:p>
        </w:tc>
        <w:tc>
          <w:tcPr>
            <w:tcW w:w="1474" w:type="dxa"/>
            <w:vAlign w:val="center"/>
          </w:tcPr>
          <w:p>
            <w:pPr>
              <w:pStyle w:val="21"/>
            </w:pPr>
            <w:r>
              <w:t>1118.73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1118.73</w:t>
            </w:r>
          </w:p>
        </w:tc>
        <w:tc>
          <w:tcPr>
            <w:tcW w:w="3402" w:type="dxa"/>
            <w:vAlign w:val="center"/>
          </w:tcPr>
          <w:p>
            <w:pPr>
              <w:pStyle w:val="24"/>
            </w:pPr>
            <w:r>
              <w:t>本年支出合计</w:t>
            </w:r>
          </w:p>
        </w:tc>
        <w:tc>
          <w:tcPr>
            <w:tcW w:w="1474" w:type="dxa"/>
            <w:vAlign w:val="center"/>
          </w:tcPr>
          <w:p>
            <w:pPr>
              <w:pStyle w:val="25"/>
            </w:pPr>
            <w:r>
              <w:t>1118.73</w:t>
            </w:r>
          </w:p>
        </w:tc>
        <w:tc>
          <w:tcPr>
            <w:tcW w:w="1474" w:type="dxa"/>
            <w:vAlign w:val="center"/>
          </w:tcPr>
          <w:p>
            <w:pPr>
              <w:pStyle w:val="25"/>
            </w:pPr>
            <w:r>
              <w:t>1118.73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1118.73</w:t>
            </w:r>
          </w:p>
        </w:tc>
        <w:tc>
          <w:tcPr>
            <w:tcW w:w="3402" w:type="dxa"/>
            <w:vAlign w:val="center"/>
          </w:tcPr>
          <w:p>
            <w:pPr>
              <w:pStyle w:val="24"/>
            </w:pPr>
            <w:r>
              <w:t>支出总计</w:t>
            </w:r>
          </w:p>
        </w:tc>
        <w:tc>
          <w:tcPr>
            <w:tcW w:w="1474" w:type="dxa"/>
            <w:vAlign w:val="center"/>
          </w:tcPr>
          <w:p>
            <w:pPr>
              <w:pStyle w:val="25"/>
            </w:pPr>
            <w:r>
              <w:t>1118.73</w:t>
            </w:r>
          </w:p>
        </w:tc>
        <w:tc>
          <w:tcPr>
            <w:tcW w:w="1474" w:type="dxa"/>
            <w:vAlign w:val="center"/>
          </w:tcPr>
          <w:p>
            <w:pPr>
              <w:pStyle w:val="25"/>
            </w:pPr>
            <w:r>
              <w:t>1118.73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501631霸州市第二十一中学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1118.73</w:t>
            </w:r>
          </w:p>
        </w:tc>
        <w:tc>
          <w:tcPr>
            <w:tcW w:w="2551" w:type="dxa"/>
            <w:vAlign w:val="center"/>
          </w:tcPr>
          <w:p>
            <w:pPr>
              <w:pStyle w:val="25"/>
            </w:pPr>
            <w:r>
              <w:t>1076.28</w:t>
            </w:r>
          </w:p>
        </w:tc>
        <w:tc>
          <w:tcPr>
            <w:tcW w:w="2551" w:type="dxa"/>
            <w:vAlign w:val="center"/>
          </w:tcPr>
          <w:p>
            <w:pPr>
              <w:pStyle w:val="25"/>
            </w:pPr>
            <w:r>
              <w:t>42.45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1118.73</w:t>
            </w:r>
          </w:p>
        </w:tc>
        <w:tc>
          <w:tcPr>
            <w:tcW w:w="2551" w:type="dxa"/>
            <w:vAlign w:val="center"/>
          </w:tcPr>
          <w:p>
            <w:pPr>
              <w:pStyle w:val="21"/>
            </w:pPr>
            <w:r>
              <w:t>1076.28</w:t>
            </w:r>
          </w:p>
        </w:tc>
        <w:tc>
          <w:tcPr>
            <w:tcW w:w="2551" w:type="dxa"/>
            <w:vAlign w:val="center"/>
          </w:tcPr>
          <w:p>
            <w:pPr>
              <w:pStyle w:val="21"/>
            </w:pPr>
            <w:r>
              <w:t>42.45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1118.73</w:t>
            </w:r>
          </w:p>
        </w:tc>
        <w:tc>
          <w:tcPr>
            <w:tcW w:w="2551" w:type="dxa"/>
            <w:vAlign w:val="center"/>
          </w:tcPr>
          <w:p>
            <w:pPr>
              <w:pStyle w:val="21"/>
            </w:pPr>
            <w:r>
              <w:t>1076.28</w:t>
            </w:r>
          </w:p>
        </w:tc>
        <w:tc>
          <w:tcPr>
            <w:tcW w:w="2551" w:type="dxa"/>
            <w:vAlign w:val="center"/>
          </w:tcPr>
          <w:p>
            <w:pPr>
              <w:pStyle w:val="21"/>
            </w:pPr>
            <w:r>
              <w:t>42.45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1118.73</w:t>
            </w:r>
          </w:p>
        </w:tc>
        <w:tc>
          <w:tcPr>
            <w:tcW w:w="2551" w:type="dxa"/>
            <w:vAlign w:val="center"/>
          </w:tcPr>
          <w:p>
            <w:pPr>
              <w:pStyle w:val="21"/>
            </w:pPr>
            <w:r>
              <w:t>1076.28</w:t>
            </w:r>
          </w:p>
        </w:tc>
        <w:tc>
          <w:tcPr>
            <w:tcW w:w="2551" w:type="dxa"/>
            <w:vAlign w:val="center"/>
          </w:tcPr>
          <w:p>
            <w:pPr>
              <w:pStyle w:val="21"/>
            </w:pPr>
            <w:r>
              <w:t>42.45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501631霸州市第二十一中学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1076.28</w:t>
            </w:r>
          </w:p>
        </w:tc>
        <w:tc>
          <w:tcPr>
            <w:tcW w:w="2551" w:type="dxa"/>
            <w:vAlign w:val="center"/>
          </w:tcPr>
          <w:p>
            <w:pPr>
              <w:pStyle w:val="25"/>
            </w:pPr>
            <w:r>
              <w:t>1060.46</w:t>
            </w:r>
          </w:p>
        </w:tc>
        <w:tc>
          <w:tcPr>
            <w:tcW w:w="2551" w:type="dxa"/>
            <w:vAlign w:val="center"/>
          </w:tcPr>
          <w:p>
            <w:pPr>
              <w:pStyle w:val="25"/>
            </w:pPr>
            <w:r>
              <w:t>15.82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929.17</w:t>
            </w:r>
          </w:p>
        </w:tc>
        <w:tc>
          <w:tcPr>
            <w:tcW w:w="2551" w:type="dxa"/>
            <w:vAlign w:val="center"/>
          </w:tcPr>
          <w:p>
            <w:pPr>
              <w:pStyle w:val="21"/>
            </w:pPr>
            <w:r>
              <w:t>929.17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262.71</w:t>
            </w:r>
          </w:p>
        </w:tc>
        <w:tc>
          <w:tcPr>
            <w:tcW w:w="2551" w:type="dxa"/>
            <w:vAlign w:val="center"/>
          </w:tcPr>
          <w:p>
            <w:pPr>
              <w:pStyle w:val="21"/>
            </w:pPr>
            <w:r>
              <w:t>262.71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54.55</w:t>
            </w:r>
          </w:p>
        </w:tc>
        <w:tc>
          <w:tcPr>
            <w:tcW w:w="2551" w:type="dxa"/>
            <w:vAlign w:val="center"/>
          </w:tcPr>
          <w:p>
            <w:pPr>
              <w:pStyle w:val="21"/>
            </w:pPr>
            <w:r>
              <w:t>54.55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325.45</w:t>
            </w:r>
          </w:p>
        </w:tc>
        <w:tc>
          <w:tcPr>
            <w:tcW w:w="2551" w:type="dxa"/>
            <w:vAlign w:val="center"/>
          </w:tcPr>
          <w:p>
            <w:pPr>
              <w:pStyle w:val="21"/>
            </w:pPr>
            <w:r>
              <w:t>325.45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81.35</w:t>
            </w:r>
          </w:p>
        </w:tc>
        <w:tc>
          <w:tcPr>
            <w:tcW w:w="2551" w:type="dxa"/>
            <w:vAlign w:val="center"/>
          </w:tcPr>
          <w:p>
            <w:pPr>
              <w:pStyle w:val="21"/>
            </w:pPr>
            <w:r>
              <w:t>81.35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23.26</w:t>
            </w:r>
          </w:p>
        </w:tc>
        <w:tc>
          <w:tcPr>
            <w:tcW w:w="2551" w:type="dxa"/>
            <w:vAlign w:val="center"/>
          </w:tcPr>
          <w:p>
            <w:pPr>
              <w:pStyle w:val="21"/>
            </w:pPr>
            <w:r>
              <w:t>23.26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23.50</w:t>
            </w:r>
          </w:p>
        </w:tc>
        <w:tc>
          <w:tcPr>
            <w:tcW w:w="2551" w:type="dxa"/>
            <w:vAlign w:val="center"/>
          </w:tcPr>
          <w:p>
            <w:pPr>
              <w:pStyle w:val="21"/>
            </w:pPr>
            <w:r>
              <w:t>23.50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5.92</w:t>
            </w:r>
          </w:p>
        </w:tc>
        <w:tc>
          <w:tcPr>
            <w:tcW w:w="2551" w:type="dxa"/>
            <w:vAlign w:val="center"/>
          </w:tcPr>
          <w:p>
            <w:pPr>
              <w:pStyle w:val="21"/>
            </w:pPr>
            <w:r>
              <w:t>5.92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65.98</w:t>
            </w:r>
          </w:p>
        </w:tc>
        <w:tc>
          <w:tcPr>
            <w:tcW w:w="2551" w:type="dxa"/>
            <w:vAlign w:val="center"/>
          </w:tcPr>
          <w:p>
            <w:pPr>
              <w:pStyle w:val="21"/>
            </w:pPr>
            <w:r>
              <w:t>65.98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86.45</w:t>
            </w:r>
          </w:p>
        </w:tc>
        <w:tc>
          <w:tcPr>
            <w:tcW w:w="2551" w:type="dxa"/>
            <w:vAlign w:val="center"/>
          </w:tcPr>
          <w:p>
            <w:pPr>
              <w:pStyle w:val="21"/>
            </w:pPr>
            <w:r>
              <w:t>86.45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15.82</w:t>
            </w:r>
          </w:p>
        </w:tc>
        <w:tc>
          <w:tcPr>
            <w:tcW w:w="2551" w:type="dxa"/>
            <w:vAlign w:val="center"/>
          </w:tcPr>
          <w:p>
            <w:pPr>
              <w:pStyle w:val="21"/>
            </w:pPr>
          </w:p>
        </w:tc>
        <w:tc>
          <w:tcPr>
            <w:tcW w:w="2551" w:type="dxa"/>
            <w:vAlign w:val="center"/>
          </w:tcPr>
          <w:p>
            <w:pPr>
              <w:pStyle w:val="21"/>
            </w:pPr>
            <w:r>
              <w:t>15.82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9.09</w:t>
            </w:r>
          </w:p>
        </w:tc>
        <w:tc>
          <w:tcPr>
            <w:tcW w:w="2551" w:type="dxa"/>
            <w:vAlign w:val="center"/>
          </w:tcPr>
          <w:p>
            <w:pPr>
              <w:pStyle w:val="21"/>
            </w:pPr>
          </w:p>
        </w:tc>
        <w:tc>
          <w:tcPr>
            <w:tcW w:w="2551" w:type="dxa"/>
            <w:vAlign w:val="center"/>
          </w:tcPr>
          <w:p>
            <w:pPr>
              <w:pStyle w:val="21"/>
            </w:pPr>
            <w: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6.73</w:t>
            </w:r>
          </w:p>
        </w:tc>
        <w:tc>
          <w:tcPr>
            <w:tcW w:w="2551" w:type="dxa"/>
            <w:vAlign w:val="center"/>
          </w:tcPr>
          <w:p>
            <w:pPr>
              <w:pStyle w:val="21"/>
            </w:pPr>
          </w:p>
        </w:tc>
        <w:tc>
          <w:tcPr>
            <w:tcW w:w="2551" w:type="dxa"/>
            <w:vAlign w:val="center"/>
          </w:tcPr>
          <w:p>
            <w:pPr>
              <w:pStyle w:val="21"/>
            </w:pPr>
            <w: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131.29</w:t>
            </w:r>
          </w:p>
        </w:tc>
        <w:tc>
          <w:tcPr>
            <w:tcW w:w="2551" w:type="dxa"/>
            <w:vAlign w:val="center"/>
          </w:tcPr>
          <w:p>
            <w:pPr>
              <w:pStyle w:val="21"/>
            </w:pPr>
            <w:r>
              <w:t>131.29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82.02</w:t>
            </w:r>
          </w:p>
        </w:tc>
        <w:tc>
          <w:tcPr>
            <w:tcW w:w="2551" w:type="dxa"/>
            <w:vAlign w:val="center"/>
          </w:tcPr>
          <w:p>
            <w:pPr>
              <w:pStyle w:val="21"/>
            </w:pPr>
            <w:r>
              <w:t>82.02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1.24</w:t>
            </w:r>
          </w:p>
        </w:tc>
        <w:tc>
          <w:tcPr>
            <w:tcW w:w="2551" w:type="dxa"/>
            <w:vAlign w:val="center"/>
          </w:tcPr>
          <w:p>
            <w:pPr>
              <w:pStyle w:val="21"/>
            </w:pPr>
            <w:r>
              <w:t>1.24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47.98</w:t>
            </w:r>
          </w:p>
        </w:tc>
        <w:tc>
          <w:tcPr>
            <w:tcW w:w="2551" w:type="dxa"/>
            <w:vAlign w:val="center"/>
          </w:tcPr>
          <w:p>
            <w:pPr>
              <w:pStyle w:val="21"/>
            </w:pPr>
            <w:r>
              <w:t>47.98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501631霸州市第二十一中学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501631霸州市第二十一中学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501631霸州市第二十一中学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3"/>
            </w:pPr>
            <w:r>
              <w:t>7</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2"/>
            </w:pPr>
            <w:r>
              <w:t xml:space="preserve">          公务用车运行维护费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1"/>
            </w:pPr>
            <w:r>
              <w:t>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1"/>
            </w:pPr>
            <w:r>
              <w:t>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3"/>
            </w:pPr>
            <w:r>
              <w:t>8</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2"/>
            </w:pPr>
            <w: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1"/>
            </w:pPr>
            <w:r>
              <w:t>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1"/>
            </w:pPr>
            <w:r>
              <w:t>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霸州市第二十一中学2023年单位预算信息公开情况说明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按照《预算法》、《地方预决算公开操作规程》和《关于进一步推进预算公开工作的实施意见》规定，现将霸州市第二十一中学2023年单位预算公开如下：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pStyle w:val="39"/>
        <w:snapToGrid w:val="0"/>
        <w:ind w:firstLine="640"/>
        <w:jc w:val="left"/>
        <w:rPr>
          <w:rFonts w:ascii="Times New Roman" w:hAnsi="Times New Roman" w:eastAsia="方正仿宋_GBK" w:cs="Times New Roman"/>
          <w:color w:val="000000"/>
          <w:sz w:val="28"/>
          <w:szCs w:val="24"/>
          <w:lang w:eastAsia="uk-UA"/>
        </w:rPr>
      </w:pPr>
      <w:r>
        <w:rPr>
          <w:rFonts w:ascii="方正楷体_GBK" w:hAnsi="方正楷体_GBK" w:eastAsia="方正楷体_GBK" w:cs="方正楷体_GBK"/>
          <w:b/>
          <w:color w:val="000000"/>
          <w:sz w:val="32"/>
        </w:rPr>
        <w:t>单位职责：</w:t>
      </w:r>
    </w:p>
    <w:p>
      <w:pPr>
        <w:pStyle w:val="35"/>
      </w:pPr>
      <w:bookmarkStart w:id="0" w:name="_GoBack"/>
      <w:r>
        <w:rPr>
          <w:rFonts w:hint="eastAsia" w:ascii="Times New Roman" w:hAnsi="Times New Roman" w:eastAsia="方正仿宋_GBK" w:cs="Times New Roman"/>
          <w:color w:val="000000"/>
          <w:sz w:val="28"/>
          <w:szCs w:val="24"/>
          <w:lang w:eastAsia="uk-UA"/>
        </w:rPr>
        <w:t>实施初中义务教育，促进基础教育发展。初中学历教育。</w:t>
      </w:r>
    </w:p>
    <w:bookmarkEnd w:id="0"/>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霸州市第二十一中学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1118.73</w:t>
      </w:r>
      <w:r>
        <w:rPr>
          <w:rFonts w:hint="eastAsia" w:ascii="方正仿宋_GBK"/>
        </w:rPr>
        <w:t>万元，其中：一般公共预算收入</w:t>
      </w:r>
      <w:r>
        <w:rPr>
          <w:rFonts w:ascii="方正仿宋_GBK"/>
        </w:rPr>
        <w:t>1118.73</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收支预算总表支出栏、基本支出表、项目支出表按经济分类和支出功能分类科目编制，反映霸州市XX单位2023年度单位预算中支出预算的总体情况。2023年支出预算</w:t>
      </w:r>
      <w:r>
        <w:rPr>
          <w:rFonts w:ascii="方正仿宋_GBK"/>
        </w:rPr>
        <w:t>1118.73</w:t>
      </w:r>
      <w:r>
        <w:rPr>
          <w:rFonts w:hint="eastAsia" w:ascii="方正仿宋_GBK"/>
        </w:rPr>
        <w:t>万元，其中：基本支出</w:t>
      </w:r>
      <w:r>
        <w:rPr>
          <w:rFonts w:ascii="方正仿宋_GBK"/>
        </w:rPr>
        <w:t>1076.28</w:t>
      </w:r>
      <w:r>
        <w:rPr>
          <w:rFonts w:hint="eastAsia" w:ascii="方正仿宋_GBK"/>
        </w:rPr>
        <w:t>万元，包括人员经费</w:t>
      </w:r>
      <w:r>
        <w:rPr>
          <w:rFonts w:ascii="方正仿宋_GBK"/>
        </w:rPr>
        <w:t>1060.46</w:t>
      </w:r>
      <w:r>
        <w:rPr>
          <w:rFonts w:hint="eastAsia" w:ascii="方正仿宋_GBK"/>
        </w:rPr>
        <w:t>万元和日常公用经费</w:t>
      </w:r>
      <w:r>
        <w:rPr>
          <w:rFonts w:ascii="方正仿宋_GBK"/>
        </w:rPr>
        <w:t>15.82</w:t>
      </w:r>
      <w:r>
        <w:rPr>
          <w:rFonts w:hint="eastAsia" w:ascii="方正仿宋_GBK"/>
        </w:rPr>
        <w:t>万元；项目支出</w:t>
      </w:r>
      <w:r>
        <w:rPr>
          <w:rFonts w:ascii="方正仿宋_GBK"/>
        </w:rPr>
        <w:t>42.45</w:t>
      </w:r>
      <w:r>
        <w:rPr>
          <w:rFonts w:hint="eastAsia" w:ascii="方正仿宋_GBK"/>
        </w:rPr>
        <w:t>万元，主要为：</w:t>
      </w:r>
      <w:r>
        <w:rPr>
          <w:rFonts w:ascii="方正仿宋_GBK"/>
        </w:rPr>
        <w:t>城乡义务教育补助生均公用经费本级配套资金</w:t>
      </w:r>
      <w:r>
        <w:rPr>
          <w:rFonts w:hint="eastAsia" w:ascii="方正仿宋_GBK"/>
        </w:rPr>
        <w:t>1</w:t>
      </w:r>
      <w:r>
        <w:rPr>
          <w:rFonts w:ascii="方正仿宋_GBK"/>
        </w:rPr>
        <w:t>.65</w:t>
      </w:r>
      <w:r>
        <w:rPr>
          <w:rFonts w:hint="eastAsia" w:ascii="方正仿宋_GBK"/>
        </w:rPr>
        <w:t>万元;</w:t>
      </w:r>
      <w:r>
        <w:rPr>
          <w:rFonts w:ascii="方正仿宋_GBK"/>
        </w:rPr>
        <w:t>关于提前下达2023年城乡义务教育省级补助资金预算的通知(公用经费)(冀财教[2022]162号)12.8</w:t>
      </w:r>
      <w:r>
        <w:rPr>
          <w:rFonts w:hint="eastAsia" w:ascii="方正仿宋_GBK"/>
        </w:rPr>
        <w:t>万元；</w:t>
      </w:r>
      <w:r>
        <w:rPr>
          <w:rFonts w:ascii="方正仿宋_GBK"/>
        </w:rPr>
        <w:t xml:space="preserve"> 关于提前下达2023年城乡义务教育中央补助经费预算的通知(公用经费)(冀财教[2022]179号)28</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1118.73</w:t>
      </w:r>
      <w:r>
        <w:rPr>
          <w:rFonts w:hint="eastAsia" w:ascii="方正仿宋_GBK"/>
        </w:rPr>
        <w:t>万元，较2022年预算增加</w:t>
      </w:r>
      <w:r>
        <w:rPr>
          <w:rFonts w:hint="eastAsia" w:ascii="方正仿宋_GBK"/>
          <w:lang w:eastAsia="zh-CN"/>
        </w:rPr>
        <w:t>1</w:t>
      </w:r>
      <w:r>
        <w:rPr>
          <w:rFonts w:ascii="方正仿宋_GBK"/>
          <w:lang w:eastAsia="zh-CN"/>
        </w:rPr>
        <w:t>35.13</w:t>
      </w:r>
      <w:r>
        <w:rPr>
          <w:rFonts w:hint="eastAsia" w:ascii="方正仿宋_GBK"/>
        </w:rPr>
        <w:t>万元，其中：基本支出增加</w:t>
      </w:r>
      <w:r>
        <w:rPr>
          <w:rFonts w:hint="eastAsia" w:ascii="方正仿宋_GBK"/>
          <w:lang w:eastAsia="zh-CN"/>
        </w:rPr>
        <w:t>1</w:t>
      </w:r>
      <w:r>
        <w:rPr>
          <w:rFonts w:ascii="方正仿宋_GBK"/>
          <w:lang w:eastAsia="zh-CN"/>
        </w:rPr>
        <w:t>40.00</w:t>
      </w:r>
      <w:r>
        <w:rPr>
          <w:rFonts w:hint="eastAsia" w:ascii="方正仿宋_GBK"/>
        </w:rPr>
        <w:t>万元，主要为</w:t>
      </w:r>
      <w:r>
        <w:rPr>
          <w:rFonts w:hint="eastAsia" w:ascii="方正仿宋_GBK"/>
          <w:lang w:eastAsia="zh-CN"/>
        </w:rPr>
        <w:t>人员经费</w:t>
      </w:r>
      <w:r>
        <w:rPr>
          <w:rFonts w:hint="eastAsia" w:ascii="方正仿宋_GBK"/>
        </w:rPr>
        <w:t>支出；项目支出或减少</w:t>
      </w:r>
      <w:r>
        <w:rPr>
          <w:rFonts w:hint="eastAsia" w:ascii="方正仿宋_GBK"/>
          <w:lang w:eastAsia="zh-CN"/>
        </w:rPr>
        <w:t>4</w:t>
      </w:r>
      <w:r>
        <w:rPr>
          <w:rFonts w:ascii="方正仿宋_GBK"/>
          <w:lang w:eastAsia="zh-CN"/>
        </w:rPr>
        <w:t>.87</w:t>
      </w:r>
      <w:r>
        <w:rPr>
          <w:rFonts w:hint="eastAsia" w:ascii="方正仿宋_GBK"/>
        </w:rPr>
        <w:t>万元，主要为</w:t>
      </w:r>
      <w:r>
        <w:rPr>
          <w:rFonts w:hint="eastAsia" w:ascii="方正仿宋_GBK"/>
          <w:lang w:eastAsia="zh-CN"/>
        </w:rPr>
        <w:t>省级补助资金和中央补助经费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ind w:firstLine="560" w:firstLineChars="200"/>
        <w:rPr>
          <w:rFonts w:ascii="方正仿宋_GBK" w:eastAsia="方正仿宋_GBK"/>
          <w:sz w:val="28"/>
          <w:lang w:eastAsia="zh-CN"/>
        </w:rPr>
      </w:pPr>
      <w:r>
        <w:rPr>
          <w:rFonts w:hint="eastAsia" w:ascii="方正仿宋_GBK" w:eastAsia="方正仿宋_GBK"/>
          <w:sz w:val="28"/>
        </w:rPr>
        <w:t>2023年，</w:t>
      </w:r>
      <w:r>
        <w:rPr>
          <w:rFonts w:hint="eastAsia" w:ascii="方正仿宋_GBK" w:eastAsia="方正仿宋_GBK"/>
          <w:sz w:val="28"/>
          <w:lang w:eastAsia="zh-CN"/>
        </w:rPr>
        <w:t>我单位运行经费共计安排</w:t>
      </w:r>
      <w:r>
        <w:rPr>
          <w:rFonts w:ascii="方正仿宋_GBK" w:eastAsia="方正仿宋_GBK"/>
          <w:sz w:val="28"/>
          <w:lang w:eastAsia="zh-CN"/>
        </w:rPr>
        <w:t>15.82</w:t>
      </w:r>
      <w:r>
        <w:rPr>
          <w:rFonts w:hint="eastAsia" w:ascii="方正仿宋_GBK" w:eastAsia="方正仿宋_GBK"/>
          <w:sz w:val="28"/>
          <w:lang w:eastAsia="zh-CN"/>
        </w:rPr>
        <w:t>万元，主要用于办公区的工会经费、福利费等日常运行支出。</w:t>
      </w:r>
    </w:p>
    <w:p>
      <w:pPr>
        <w:pStyle w:val="39"/>
        <w:ind w:firstLine="640" w:firstLineChars="200"/>
      </w:pPr>
      <w:r>
        <w:rPr>
          <w:rFonts w:ascii="黑体" w:hAnsi="黑体" w:eastAsia="黑体" w:cs="黑体"/>
          <w:color w:val="000000"/>
          <w:sz w:val="32"/>
        </w:rPr>
        <w:t>四、财政拨款“三公”经费预算情况及增减变化原因</w:t>
      </w:r>
    </w:p>
    <w:p>
      <w:pPr>
        <w:pStyle w:val="38"/>
        <w:rPr>
          <w:rFonts w:asciiTheme="minorHAnsi" w:hAnsiTheme="minorHAnsi"/>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≥454人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≥454人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≥454人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2023年，霸州市第二十一中学安排政府采购预算5.92万元。具体内容见下表。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501631霸州市第二十一中学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5.92</w:t>
            </w:r>
          </w:p>
        </w:tc>
        <w:tc>
          <w:tcPr>
            <w:tcW w:w="964" w:type="dxa"/>
            <w:vAlign w:val="center"/>
          </w:tcPr>
          <w:p>
            <w:pPr>
              <w:pStyle w:val="25"/>
            </w:pPr>
            <w:r>
              <w:t>5.92</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霸州市第二十一中学小计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5.92</w:t>
            </w:r>
          </w:p>
        </w:tc>
        <w:tc>
          <w:tcPr>
            <w:tcW w:w="964" w:type="dxa"/>
            <w:vAlign w:val="center"/>
          </w:tcPr>
          <w:p>
            <w:pPr>
              <w:pStyle w:val="25"/>
            </w:pPr>
            <w:r>
              <w:t>5.92</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12.80</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个</w:t>
            </w:r>
          </w:p>
        </w:tc>
        <w:tc>
          <w:tcPr>
            <w:tcW w:w="850" w:type="dxa"/>
            <w:vAlign w:val="center"/>
          </w:tcPr>
          <w:p>
            <w:pPr>
              <w:pStyle w:val="21"/>
            </w:pPr>
            <w:r>
              <w:t>25</w:t>
            </w:r>
          </w:p>
        </w:tc>
        <w:tc>
          <w:tcPr>
            <w:tcW w:w="850" w:type="dxa"/>
            <w:vAlign w:val="center"/>
          </w:tcPr>
          <w:p>
            <w:pPr>
              <w:pStyle w:val="21"/>
            </w:pPr>
            <w:r>
              <w:t>0.20</w:t>
            </w:r>
          </w:p>
        </w:tc>
        <w:tc>
          <w:tcPr>
            <w:tcW w:w="964" w:type="dxa"/>
            <w:vAlign w:val="center"/>
          </w:tcPr>
          <w:p>
            <w:pPr>
              <w:pStyle w:val="21"/>
            </w:pPr>
            <w:r>
              <w:t>5.00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12.80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12.80</w:t>
            </w:r>
          </w:p>
        </w:tc>
        <w:tc>
          <w:tcPr>
            <w:tcW w:w="1134" w:type="dxa"/>
            <w:vAlign w:val="center"/>
          </w:tcPr>
          <w:p>
            <w:pPr>
              <w:pStyle w:val="22"/>
            </w:pPr>
            <w:r>
              <w:t>金属质架类</w:t>
            </w:r>
          </w:p>
        </w:tc>
        <w:tc>
          <w:tcPr>
            <w:tcW w:w="1134" w:type="dxa"/>
            <w:vAlign w:val="center"/>
          </w:tcPr>
          <w:p>
            <w:pPr>
              <w:pStyle w:val="22"/>
            </w:pPr>
            <w:r>
              <w:t>A05010602</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0.42</w:t>
            </w:r>
          </w:p>
        </w:tc>
        <w:tc>
          <w:tcPr>
            <w:tcW w:w="964" w:type="dxa"/>
            <w:vAlign w:val="center"/>
          </w:tcPr>
          <w:p>
            <w:pPr>
              <w:pStyle w:val="21"/>
            </w:pPr>
            <w:r>
              <w:t>0.42</w:t>
            </w:r>
          </w:p>
        </w:tc>
        <w:tc>
          <w:tcPr>
            <w:tcW w:w="964" w:type="dxa"/>
            <w:vAlign w:val="center"/>
          </w:tcPr>
          <w:p>
            <w:pPr>
              <w:pStyle w:val="21"/>
            </w:pPr>
            <w:r>
              <w:t>0.42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0.42</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霸州市第二十一中学上年末固定资产金额为1322.50万元（详见下表）。本年度拟购置固定资产总额为6.52万元，已按要求列入政府采购预算，详见政府采购预算表。</w:t>
      </w:r>
    </w:p>
    <w:tbl>
      <w:tblPr>
        <w:tblStyle w:val="10"/>
        <w:tblW w:w="0" w:type="auto"/>
        <w:jc w:val="center"/>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jc w:val="center"/>
        </w:trPr>
        <w:tc>
          <w:tcPr>
            <w:tcW w:w="13482" w:type="dxa"/>
            <w:gridSpan w:val="3"/>
            <w:tcBorders>
              <w:top w:val="nil"/>
              <w:left w:val="nil"/>
              <w:bottom w:val="nil"/>
              <w:right w:val="nil"/>
            </w:tcBorders>
            <w:vAlign w:val="center"/>
          </w:tcPr>
          <w:p>
            <w:pPr>
              <w:pStyle w:val="39"/>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霸州市第二十一中学固定资产占用情况表</w:t>
            </w:r>
          </w:p>
        </w:tc>
      </w:tr>
      <w:tr>
        <w:tblPrEx>
          <w:tblCellMar>
            <w:top w:w="0" w:type="dxa"/>
            <w:left w:w="108" w:type="dxa"/>
            <w:bottom w:w="0" w:type="dxa"/>
            <w:right w:w="108" w:type="dxa"/>
          </w:tblCellMar>
        </w:tblPrEx>
        <w:trPr>
          <w:trHeight w:val="510" w:hRule="atLeast"/>
          <w:jc w:val="center"/>
        </w:trPr>
        <w:tc>
          <w:tcPr>
            <w:tcW w:w="8772" w:type="dxa"/>
            <w:gridSpan w:val="2"/>
            <w:tcBorders>
              <w:top w:val="nil"/>
              <w:left w:val="nil"/>
              <w:bottom w:val="nil"/>
              <w:right w:val="nil"/>
            </w:tcBorders>
            <w:vAlign w:val="center"/>
          </w:tcPr>
          <w:p>
            <w:pPr>
              <w:pStyle w:val="19"/>
            </w:pPr>
            <w:r>
              <w:rPr>
                <w:rFonts w:hint="eastAsia"/>
              </w:rPr>
              <w:t>编制单位：[501631]霸州市第二十一中学</w:t>
            </w:r>
          </w:p>
        </w:tc>
        <w:tc>
          <w:tcPr>
            <w:tcW w:w="4710" w:type="dxa"/>
            <w:tcBorders>
              <w:top w:val="nil"/>
              <w:left w:val="nil"/>
              <w:bottom w:val="nil"/>
              <w:right w:val="nil"/>
            </w:tcBorders>
            <w:vAlign w:val="center"/>
          </w:tcPr>
          <w:p>
            <w:pPr>
              <w:pStyle w:val="19"/>
            </w:pPr>
            <w:r>
              <w:rPr>
                <w:rFonts w:hint="eastAsia"/>
              </w:rPr>
              <w:t>截止时间：202</w:t>
            </w:r>
            <w:r>
              <w:t>2</w:t>
            </w:r>
            <w:r>
              <w:rPr>
                <w:rFonts w:hint="eastAsia"/>
                <w:lang w:eastAsia="zh-CN"/>
              </w:rPr>
              <w:t>-</w:t>
            </w:r>
            <w:r>
              <w:rPr>
                <w:rFonts w:hint="eastAsia"/>
              </w:rPr>
              <w:t>12</w:t>
            </w:r>
            <w:r>
              <w:rPr>
                <w:rFonts w:hint="eastAsia"/>
                <w:lang w:eastAsia="zh-CN"/>
              </w:rPr>
              <w:t>-</w:t>
            </w:r>
            <w:r>
              <w:rPr>
                <w:rFonts w:hint="eastAsia"/>
              </w:rPr>
              <w:t xml:space="preserve">31  </w:t>
            </w:r>
          </w:p>
        </w:tc>
      </w:tr>
      <w:tr>
        <w:tblPrEx>
          <w:tblCellMar>
            <w:top w:w="0" w:type="dxa"/>
            <w:left w:w="108" w:type="dxa"/>
            <w:bottom w:w="0" w:type="dxa"/>
            <w:right w:w="108" w:type="dxa"/>
          </w:tblCellMar>
        </w:tblPrEx>
        <w:trPr>
          <w:trHeight w:val="478" w:hRule="atLeast"/>
          <w:jc w:val="center"/>
        </w:trPr>
        <w:tc>
          <w:tcPr>
            <w:tcW w:w="5224" w:type="dxa"/>
            <w:tcBorders>
              <w:top w:val="single" w:color="000000" w:sz="4" w:space="0"/>
              <w:left w:val="single" w:color="000000" w:sz="4" w:space="0"/>
              <w:bottom w:val="single" w:color="000000" w:sz="4" w:space="0"/>
              <w:right w:val="single" w:color="000000" w:sz="4" w:space="0"/>
            </w:tcBorders>
            <w:vAlign w:val="center"/>
          </w:tcPr>
          <w:p>
            <w:pPr>
              <w:pStyle w:val="19"/>
            </w:pPr>
            <w:r>
              <w:rPr>
                <w:rFonts w:hint="eastAsia"/>
              </w:rPr>
              <w:t>项   目</w:t>
            </w:r>
          </w:p>
        </w:tc>
        <w:tc>
          <w:tcPr>
            <w:tcW w:w="3548" w:type="dxa"/>
            <w:tcBorders>
              <w:top w:val="single" w:color="000000" w:sz="4" w:space="0"/>
              <w:left w:val="nil"/>
              <w:bottom w:val="single" w:color="000000" w:sz="4" w:space="0"/>
              <w:right w:val="single" w:color="000000" w:sz="4" w:space="0"/>
            </w:tcBorders>
            <w:vAlign w:val="center"/>
          </w:tcPr>
          <w:p>
            <w:pPr>
              <w:pStyle w:val="19"/>
            </w:pPr>
            <w:r>
              <w:rPr>
                <w:rFonts w:hint="eastAsia"/>
              </w:rPr>
              <w:t>数量</w:t>
            </w:r>
          </w:p>
        </w:tc>
        <w:tc>
          <w:tcPr>
            <w:tcW w:w="4710" w:type="dxa"/>
            <w:tcBorders>
              <w:top w:val="single" w:color="000000" w:sz="4" w:space="0"/>
              <w:left w:val="nil"/>
              <w:bottom w:val="single" w:color="000000" w:sz="4" w:space="0"/>
              <w:right w:val="single" w:color="000000" w:sz="4" w:space="0"/>
            </w:tcBorders>
            <w:vAlign w:val="center"/>
          </w:tcPr>
          <w:p>
            <w:pPr>
              <w:pStyle w:val="19"/>
            </w:pPr>
            <w:r>
              <w:rPr>
                <w:rFonts w:hint="eastAsia"/>
              </w:rPr>
              <w:t>价值（金额单位：万元）</w:t>
            </w:r>
          </w:p>
        </w:tc>
      </w:tr>
      <w:tr>
        <w:tblPrEx>
          <w:tblCellMar>
            <w:top w:w="0" w:type="dxa"/>
            <w:left w:w="108" w:type="dxa"/>
            <w:bottom w:w="0" w:type="dxa"/>
            <w:right w:w="108" w:type="dxa"/>
          </w:tblCellMar>
        </w:tblPrEx>
        <w:trPr>
          <w:trHeight w:val="543" w:hRule="atLeast"/>
          <w:jc w:val="center"/>
        </w:trPr>
        <w:tc>
          <w:tcPr>
            <w:tcW w:w="5224" w:type="dxa"/>
            <w:tcBorders>
              <w:top w:val="nil"/>
              <w:left w:val="single" w:color="000000" w:sz="4" w:space="0"/>
              <w:bottom w:val="single" w:color="000000" w:sz="4" w:space="0"/>
              <w:right w:val="single" w:color="000000" w:sz="4" w:space="0"/>
            </w:tcBorders>
            <w:vAlign w:val="center"/>
          </w:tcPr>
          <w:p>
            <w:pPr>
              <w:pStyle w:val="19"/>
            </w:pPr>
            <w:r>
              <w:rPr>
                <w:rFonts w:hint="eastAsia"/>
              </w:rPr>
              <w:t>资产总额</w:t>
            </w:r>
          </w:p>
        </w:tc>
        <w:tc>
          <w:tcPr>
            <w:tcW w:w="3548" w:type="dxa"/>
            <w:tcBorders>
              <w:top w:val="nil"/>
              <w:left w:val="nil"/>
              <w:bottom w:val="single" w:color="000000" w:sz="4" w:space="0"/>
              <w:right w:val="single" w:color="000000" w:sz="4" w:space="0"/>
            </w:tcBorders>
            <w:vAlign w:val="center"/>
          </w:tcPr>
          <w:p>
            <w:pPr>
              <w:pStyle w:val="19"/>
            </w:pPr>
            <w:r>
              <w:rPr>
                <w:rFonts w:hint="eastAsia"/>
              </w:rPr>
              <w:t>——</w:t>
            </w:r>
          </w:p>
        </w:tc>
        <w:tc>
          <w:tcPr>
            <w:tcW w:w="4710" w:type="dxa"/>
            <w:tcBorders>
              <w:top w:val="nil"/>
              <w:left w:val="nil"/>
              <w:bottom w:val="single" w:color="000000" w:sz="4" w:space="0"/>
              <w:right w:val="single" w:color="000000" w:sz="4" w:space="0"/>
            </w:tcBorders>
            <w:vAlign w:val="center"/>
          </w:tcPr>
          <w:p>
            <w:pPr>
              <w:pStyle w:val="19"/>
            </w:pPr>
            <w:r>
              <w:t>1322.495194</w:t>
            </w:r>
          </w:p>
        </w:tc>
      </w:tr>
      <w:tr>
        <w:tblPrEx>
          <w:tblCellMar>
            <w:top w:w="0" w:type="dxa"/>
            <w:left w:w="108" w:type="dxa"/>
            <w:bottom w:w="0" w:type="dxa"/>
            <w:right w:w="108" w:type="dxa"/>
          </w:tblCellMar>
        </w:tblPrEx>
        <w:trPr>
          <w:trHeight w:val="578" w:hRule="atLeast"/>
          <w:jc w:val="center"/>
        </w:trPr>
        <w:tc>
          <w:tcPr>
            <w:tcW w:w="5224" w:type="dxa"/>
            <w:tcBorders>
              <w:top w:val="nil"/>
              <w:left w:val="single" w:color="000000" w:sz="4" w:space="0"/>
              <w:bottom w:val="single" w:color="000000" w:sz="4" w:space="0"/>
              <w:right w:val="single" w:color="000000" w:sz="4" w:space="0"/>
            </w:tcBorders>
            <w:vAlign w:val="center"/>
          </w:tcPr>
          <w:p>
            <w:pPr>
              <w:pStyle w:val="19"/>
            </w:pPr>
            <w:r>
              <w:rPr>
                <w:rFonts w:hint="eastAsia"/>
              </w:rPr>
              <w:t>1、房屋（平方米）</w:t>
            </w:r>
          </w:p>
        </w:tc>
        <w:tc>
          <w:tcPr>
            <w:tcW w:w="3548" w:type="dxa"/>
            <w:tcBorders>
              <w:top w:val="nil"/>
              <w:left w:val="nil"/>
              <w:bottom w:val="single" w:color="000000" w:sz="4" w:space="0"/>
              <w:right w:val="single" w:color="000000" w:sz="4" w:space="0"/>
            </w:tcBorders>
            <w:vAlign w:val="center"/>
          </w:tcPr>
          <w:p>
            <w:pPr>
              <w:pStyle w:val="19"/>
            </w:pPr>
            <w:r>
              <w:rPr>
                <w:rFonts w:hint="eastAsia"/>
              </w:rPr>
              <w:t>4315.54</w:t>
            </w:r>
          </w:p>
        </w:tc>
        <w:tc>
          <w:tcPr>
            <w:tcW w:w="4710" w:type="dxa"/>
            <w:tcBorders>
              <w:top w:val="nil"/>
              <w:left w:val="nil"/>
              <w:bottom w:val="single" w:color="000000" w:sz="4" w:space="0"/>
              <w:right w:val="single" w:color="000000" w:sz="4" w:space="0"/>
            </w:tcBorders>
            <w:vAlign w:val="center"/>
          </w:tcPr>
          <w:p>
            <w:pPr>
              <w:pStyle w:val="19"/>
            </w:pPr>
            <w:r>
              <w:rPr>
                <w:rFonts w:hint="eastAsia"/>
              </w:rPr>
              <w:t>1015.00</w:t>
            </w:r>
          </w:p>
        </w:tc>
      </w:tr>
      <w:tr>
        <w:tblPrEx>
          <w:tblCellMar>
            <w:top w:w="0" w:type="dxa"/>
            <w:left w:w="108" w:type="dxa"/>
            <w:bottom w:w="0" w:type="dxa"/>
            <w:right w:w="108" w:type="dxa"/>
          </w:tblCellMar>
        </w:tblPrEx>
        <w:trPr>
          <w:trHeight w:val="543" w:hRule="atLeast"/>
          <w:jc w:val="center"/>
        </w:trPr>
        <w:tc>
          <w:tcPr>
            <w:tcW w:w="5224" w:type="dxa"/>
            <w:tcBorders>
              <w:top w:val="nil"/>
              <w:left w:val="single" w:color="000000" w:sz="4" w:space="0"/>
              <w:bottom w:val="single" w:color="000000" w:sz="4" w:space="0"/>
              <w:right w:val="single" w:color="000000" w:sz="4" w:space="0"/>
            </w:tcBorders>
            <w:vAlign w:val="center"/>
          </w:tcPr>
          <w:p>
            <w:pPr>
              <w:pStyle w:val="19"/>
            </w:pPr>
            <w:r>
              <w:rPr>
                <w:rFonts w:hint="eastAsia"/>
              </w:rPr>
              <w:t xml:space="preserve">   其中：办公用房（平方米）</w:t>
            </w:r>
          </w:p>
        </w:tc>
        <w:tc>
          <w:tcPr>
            <w:tcW w:w="3548" w:type="dxa"/>
            <w:tcBorders>
              <w:top w:val="nil"/>
              <w:left w:val="nil"/>
              <w:bottom w:val="single" w:color="000000" w:sz="4" w:space="0"/>
              <w:right w:val="single" w:color="000000" w:sz="4" w:space="0"/>
            </w:tcBorders>
            <w:vAlign w:val="center"/>
          </w:tcPr>
          <w:p>
            <w:pPr>
              <w:pStyle w:val="19"/>
            </w:pPr>
            <w:r>
              <w:rPr>
                <w:rFonts w:hint="eastAsia"/>
              </w:rPr>
              <w:t>326.80</w:t>
            </w:r>
          </w:p>
        </w:tc>
        <w:tc>
          <w:tcPr>
            <w:tcW w:w="4710" w:type="dxa"/>
            <w:tcBorders>
              <w:top w:val="nil"/>
              <w:left w:val="nil"/>
              <w:bottom w:val="single" w:color="000000" w:sz="4" w:space="0"/>
              <w:right w:val="single" w:color="000000" w:sz="4" w:space="0"/>
            </w:tcBorders>
            <w:vAlign w:val="center"/>
          </w:tcPr>
          <w:p>
            <w:pPr>
              <w:pStyle w:val="19"/>
            </w:pPr>
            <w:r>
              <w:rPr>
                <w:rFonts w:hint="eastAsia"/>
              </w:rPr>
              <w:t>76.862223</w:t>
            </w:r>
          </w:p>
        </w:tc>
      </w:tr>
      <w:tr>
        <w:tblPrEx>
          <w:tblCellMar>
            <w:top w:w="0" w:type="dxa"/>
            <w:left w:w="108" w:type="dxa"/>
            <w:bottom w:w="0" w:type="dxa"/>
            <w:right w:w="108" w:type="dxa"/>
          </w:tblCellMar>
        </w:tblPrEx>
        <w:trPr>
          <w:trHeight w:val="566" w:hRule="atLeast"/>
          <w:jc w:val="center"/>
        </w:trPr>
        <w:tc>
          <w:tcPr>
            <w:tcW w:w="5224" w:type="dxa"/>
            <w:tcBorders>
              <w:top w:val="nil"/>
              <w:left w:val="single" w:color="000000" w:sz="4" w:space="0"/>
              <w:bottom w:val="single" w:color="000000" w:sz="4" w:space="0"/>
              <w:right w:val="single" w:color="000000" w:sz="4" w:space="0"/>
            </w:tcBorders>
            <w:vAlign w:val="center"/>
          </w:tcPr>
          <w:p>
            <w:pPr>
              <w:pStyle w:val="19"/>
            </w:pPr>
            <w:r>
              <w:rPr>
                <w:rFonts w:hint="eastAsia"/>
              </w:rPr>
              <w:t>2、车辆（台、辆）</w:t>
            </w:r>
          </w:p>
        </w:tc>
        <w:tc>
          <w:tcPr>
            <w:tcW w:w="3548" w:type="dxa"/>
            <w:tcBorders>
              <w:top w:val="nil"/>
              <w:left w:val="nil"/>
              <w:bottom w:val="single" w:color="000000" w:sz="4" w:space="0"/>
              <w:right w:val="single" w:color="000000" w:sz="4" w:space="0"/>
            </w:tcBorders>
            <w:vAlign w:val="center"/>
          </w:tcPr>
          <w:p>
            <w:pPr>
              <w:pStyle w:val="19"/>
            </w:pPr>
            <w:r>
              <w:rPr>
                <w:rFonts w:hint="eastAsia"/>
              </w:rPr>
              <w:t>0.00</w:t>
            </w:r>
          </w:p>
        </w:tc>
        <w:tc>
          <w:tcPr>
            <w:tcW w:w="4710" w:type="dxa"/>
            <w:tcBorders>
              <w:top w:val="nil"/>
              <w:left w:val="nil"/>
              <w:bottom w:val="single" w:color="000000" w:sz="4" w:space="0"/>
              <w:right w:val="single" w:color="000000" w:sz="4" w:space="0"/>
            </w:tcBorders>
            <w:vAlign w:val="center"/>
          </w:tcPr>
          <w:p>
            <w:pPr>
              <w:pStyle w:val="19"/>
            </w:pPr>
            <w:r>
              <w:rPr>
                <w:rFonts w:hint="eastAsia"/>
              </w:rPr>
              <w:t>0.00</w:t>
            </w:r>
          </w:p>
        </w:tc>
      </w:tr>
      <w:tr>
        <w:tblPrEx>
          <w:tblCellMar>
            <w:top w:w="0" w:type="dxa"/>
            <w:left w:w="108" w:type="dxa"/>
            <w:bottom w:w="0" w:type="dxa"/>
            <w:right w:w="108" w:type="dxa"/>
          </w:tblCellMar>
        </w:tblPrEx>
        <w:trPr>
          <w:trHeight w:val="546" w:hRule="atLeast"/>
          <w:jc w:val="center"/>
        </w:trPr>
        <w:tc>
          <w:tcPr>
            <w:tcW w:w="5224" w:type="dxa"/>
            <w:tcBorders>
              <w:top w:val="nil"/>
              <w:left w:val="single" w:color="000000" w:sz="4" w:space="0"/>
              <w:bottom w:val="single" w:color="000000" w:sz="4" w:space="0"/>
              <w:right w:val="single" w:color="000000" w:sz="4" w:space="0"/>
            </w:tcBorders>
            <w:vAlign w:val="center"/>
          </w:tcPr>
          <w:p>
            <w:pPr>
              <w:pStyle w:val="19"/>
            </w:pPr>
            <w:r>
              <w:rPr>
                <w:rFonts w:hint="eastAsia"/>
              </w:rPr>
              <w:t>3、单价在20万元以上的设备</w:t>
            </w:r>
          </w:p>
        </w:tc>
        <w:tc>
          <w:tcPr>
            <w:tcW w:w="3548" w:type="dxa"/>
            <w:tcBorders>
              <w:top w:val="nil"/>
              <w:left w:val="nil"/>
              <w:bottom w:val="single" w:color="000000" w:sz="4" w:space="0"/>
              <w:right w:val="single" w:color="000000" w:sz="4" w:space="0"/>
            </w:tcBorders>
            <w:vAlign w:val="center"/>
          </w:tcPr>
          <w:p>
            <w:pPr>
              <w:pStyle w:val="19"/>
            </w:pPr>
            <w:r>
              <w:rPr>
                <w:rFonts w:hint="eastAsia"/>
              </w:rPr>
              <w:t>0.00</w:t>
            </w:r>
          </w:p>
        </w:tc>
        <w:tc>
          <w:tcPr>
            <w:tcW w:w="4710" w:type="dxa"/>
            <w:tcBorders>
              <w:top w:val="nil"/>
              <w:left w:val="nil"/>
              <w:bottom w:val="single" w:color="000000" w:sz="4" w:space="0"/>
              <w:right w:val="single" w:color="000000" w:sz="4" w:space="0"/>
            </w:tcBorders>
            <w:vAlign w:val="center"/>
          </w:tcPr>
          <w:p>
            <w:pPr>
              <w:pStyle w:val="19"/>
            </w:pPr>
            <w:r>
              <w:rPr>
                <w:rFonts w:hint="eastAsia"/>
              </w:rPr>
              <w:t>0.00</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000000" w:sz="4" w:space="0"/>
              <w:bottom w:val="single" w:color="000000" w:sz="4" w:space="0"/>
              <w:right w:val="single" w:color="000000" w:sz="4" w:space="0"/>
            </w:tcBorders>
            <w:vAlign w:val="center"/>
          </w:tcPr>
          <w:p>
            <w:pPr>
              <w:pStyle w:val="19"/>
            </w:pPr>
            <w:r>
              <w:rPr>
                <w:rFonts w:hint="eastAsia"/>
              </w:rPr>
              <w:t>4、其他固定资产</w:t>
            </w:r>
          </w:p>
        </w:tc>
        <w:tc>
          <w:tcPr>
            <w:tcW w:w="3548" w:type="dxa"/>
            <w:tcBorders>
              <w:top w:val="nil"/>
              <w:left w:val="nil"/>
              <w:bottom w:val="single" w:color="000000" w:sz="4" w:space="0"/>
              <w:right w:val="single" w:color="000000" w:sz="4" w:space="0"/>
            </w:tcBorders>
            <w:vAlign w:val="center"/>
          </w:tcPr>
          <w:p>
            <w:pPr>
              <w:pStyle w:val="19"/>
            </w:pPr>
            <w:r>
              <w:t>13914.00</w:t>
            </w:r>
          </w:p>
        </w:tc>
        <w:tc>
          <w:tcPr>
            <w:tcW w:w="4710" w:type="dxa"/>
            <w:tcBorders>
              <w:top w:val="nil"/>
              <w:left w:val="nil"/>
              <w:bottom w:val="single" w:color="000000" w:sz="4" w:space="0"/>
              <w:right w:val="single" w:color="000000" w:sz="4" w:space="0"/>
            </w:tcBorders>
            <w:vAlign w:val="center"/>
          </w:tcPr>
          <w:p>
            <w:pPr>
              <w:pStyle w:val="19"/>
            </w:pPr>
            <w:r>
              <w:t>307.495194</w:t>
            </w:r>
          </w:p>
        </w:tc>
      </w:tr>
    </w:tbl>
    <w:p>
      <w:pPr>
        <w:ind w:firstLine="640"/>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0c6cf1a3-26e8-4cca-9233-047da20eee13"/>
  </w:docVars>
  <w:rsids>
    <w:rsidRoot w:val="004A1168"/>
    <w:rsid w:val="00012A57"/>
    <w:rsid w:val="00036F35"/>
    <w:rsid w:val="000B7353"/>
    <w:rsid w:val="00113EB8"/>
    <w:rsid w:val="00136014"/>
    <w:rsid w:val="0014107E"/>
    <w:rsid w:val="001F67F8"/>
    <w:rsid w:val="00266901"/>
    <w:rsid w:val="00297174"/>
    <w:rsid w:val="002F010E"/>
    <w:rsid w:val="003028AF"/>
    <w:rsid w:val="003816DC"/>
    <w:rsid w:val="003A5231"/>
    <w:rsid w:val="003D654A"/>
    <w:rsid w:val="003F5AB2"/>
    <w:rsid w:val="0040247B"/>
    <w:rsid w:val="00460F65"/>
    <w:rsid w:val="00464BFB"/>
    <w:rsid w:val="004A1168"/>
    <w:rsid w:val="005107E0"/>
    <w:rsid w:val="00530F5F"/>
    <w:rsid w:val="00580182"/>
    <w:rsid w:val="005B7AFC"/>
    <w:rsid w:val="0062520F"/>
    <w:rsid w:val="0065507F"/>
    <w:rsid w:val="006A5C86"/>
    <w:rsid w:val="006D6C4D"/>
    <w:rsid w:val="006F70C6"/>
    <w:rsid w:val="007202E7"/>
    <w:rsid w:val="0075118D"/>
    <w:rsid w:val="00785DD9"/>
    <w:rsid w:val="00791C2A"/>
    <w:rsid w:val="007E3571"/>
    <w:rsid w:val="00826C75"/>
    <w:rsid w:val="008D5CFC"/>
    <w:rsid w:val="008E4046"/>
    <w:rsid w:val="00971905"/>
    <w:rsid w:val="00972810"/>
    <w:rsid w:val="00991EB1"/>
    <w:rsid w:val="009B55A2"/>
    <w:rsid w:val="009D3D94"/>
    <w:rsid w:val="009F10EE"/>
    <w:rsid w:val="00A576C1"/>
    <w:rsid w:val="00A80758"/>
    <w:rsid w:val="00A9064A"/>
    <w:rsid w:val="00A915A7"/>
    <w:rsid w:val="00AA1FB3"/>
    <w:rsid w:val="00AD578B"/>
    <w:rsid w:val="00B01E06"/>
    <w:rsid w:val="00B6757F"/>
    <w:rsid w:val="00B810E4"/>
    <w:rsid w:val="00BB35A7"/>
    <w:rsid w:val="00C57197"/>
    <w:rsid w:val="00C672B5"/>
    <w:rsid w:val="00CC7E62"/>
    <w:rsid w:val="00D34522"/>
    <w:rsid w:val="00D513F4"/>
    <w:rsid w:val="00D64AD2"/>
    <w:rsid w:val="00D93167"/>
    <w:rsid w:val="00D9444E"/>
    <w:rsid w:val="00DB272F"/>
    <w:rsid w:val="00DF67BC"/>
    <w:rsid w:val="00E16E77"/>
    <w:rsid w:val="00E20116"/>
    <w:rsid w:val="00E3061C"/>
    <w:rsid w:val="00EF51BF"/>
    <w:rsid w:val="00F64C83"/>
    <w:rsid w:val="00FC209C"/>
    <w:rsid w:val="0A441EEC"/>
    <w:rsid w:val="5E83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9">
    <w:name w:val="p0"/>
    <w:basedOn w:val="1"/>
    <w:qFormat/>
    <w:uiPriority w:val="0"/>
    <w:pPr>
      <w:jc w:val="both"/>
    </w:pPr>
    <w:rPr>
      <w:rFonts w:ascii="等线" w:hAnsi="等线" w:eastAsia="等线" w:cs="宋体"/>
      <w:sz w:val="21"/>
      <w:szCs w:val="21"/>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5579</Words>
  <Characters>6728</Characters>
  <Lines>64</Lines>
  <Paragraphs>18</Paragraphs>
  <TotalTime>0</TotalTime>
  <ScaleCrop>false</ScaleCrop>
  <LinksUpToDate>false</LinksUpToDate>
  <CharactersWithSpaces>6896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2023-02-28T03:08:24Z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74F1EBBEDC8A47319A07148A7927C3E5</vt:lpwstr>
  </property>
</Properties>
</file>